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70" w:rsidRPr="00C043E4" w:rsidRDefault="009E5670" w:rsidP="009E5670">
      <w:pPr>
        <w:spacing w:after="0" w:line="300" w:lineRule="atLeast"/>
        <w:ind w:left="-180" w:firstLine="360"/>
        <w:jc w:val="center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Аннотация к рабочей программе  дисциплины «Русский язык. 10</w:t>
      </w:r>
      <w:r>
        <w:rPr>
          <w:rFonts w:ascii="Times New Roman" w:eastAsia="Times New Roman" w:hAnsi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-11</w:t>
      </w: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 класс»</w:t>
      </w:r>
    </w:p>
    <w:p w:rsidR="009E5670" w:rsidRPr="00C043E4" w:rsidRDefault="009E5670" w:rsidP="009E5670">
      <w:pPr>
        <w:spacing w:after="0" w:line="300" w:lineRule="atLeast"/>
        <w:ind w:left="-180" w:firstLine="360"/>
        <w:jc w:val="center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9"/>
          <w:szCs w:val="29"/>
          <w:bdr w:val="none" w:sz="0" w:space="0" w:color="auto" w:frame="1"/>
          <w:lang w:eastAsia="ru-RU"/>
        </w:rPr>
        <w:t> </w:t>
      </w:r>
    </w:p>
    <w:p w:rsidR="009E5670" w:rsidRPr="00C043E4" w:rsidRDefault="009E5670" w:rsidP="009E5670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1. Место дисциплины в структуре основной образовательной программы</w:t>
      </w:r>
    </w:p>
    <w:p w:rsidR="009E5670" w:rsidRPr="00C043E4" w:rsidRDefault="009E5670" w:rsidP="009E5670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C043E4">
        <w:rPr>
          <w:rFonts w:ascii="Times New Roman" w:eastAsia="Times New Roman" w:hAnsi="Times New Roman"/>
          <w:b/>
          <w:bCs/>
          <w:color w:val="373737"/>
          <w:sz w:val="28"/>
          <w:lang w:eastAsia="ru-RU"/>
        </w:rPr>
        <w:t> </w:t>
      </w: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Рабочая программа по русскому языку для 10 класса составлена на основе </w:t>
      </w:r>
      <w:r w:rsidRPr="00C043E4">
        <w:rPr>
          <w:rFonts w:ascii="Times New Roman" w:eastAsia="Times New Roman" w:hAnsi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федерального компонента государственного стандарта среднего (полного) общего образования, авторской программы      Н.Г. </w:t>
      </w:r>
      <w:proofErr w:type="spellStart"/>
      <w:r w:rsidRPr="00C043E4">
        <w:rPr>
          <w:rFonts w:ascii="Times New Roman" w:eastAsia="Times New Roman" w:hAnsi="Times New Roman"/>
          <w:color w:val="000000"/>
          <w:sz w:val="29"/>
          <w:szCs w:val="29"/>
          <w:bdr w:val="none" w:sz="0" w:space="0" w:color="auto" w:frame="1"/>
          <w:lang w:eastAsia="ru-RU"/>
        </w:rPr>
        <w:t>Гольцовой</w:t>
      </w:r>
      <w:proofErr w:type="spellEnd"/>
      <w:r w:rsidRPr="00C043E4">
        <w:rPr>
          <w:rFonts w:ascii="Times New Roman" w:eastAsia="Times New Roman" w:hAnsi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. Данная программа рекомендована Министерством образования РФ для общеобразовательных классов, соответствует стандарту основного общего образования по русскому языку. Преподавание ведется по учебнику: Н. Г. </w:t>
      </w:r>
      <w:proofErr w:type="spellStart"/>
      <w:r w:rsidRPr="00C043E4">
        <w:rPr>
          <w:rFonts w:ascii="Times New Roman" w:eastAsia="Times New Roman" w:hAnsi="Times New Roman"/>
          <w:color w:val="000000"/>
          <w:sz w:val="29"/>
          <w:szCs w:val="29"/>
          <w:bdr w:val="none" w:sz="0" w:space="0" w:color="auto" w:frame="1"/>
          <w:lang w:eastAsia="ru-RU"/>
        </w:rPr>
        <w:t>Гольцова</w:t>
      </w:r>
      <w:proofErr w:type="spellEnd"/>
      <w:r w:rsidRPr="00C043E4">
        <w:rPr>
          <w:rFonts w:ascii="Times New Roman" w:eastAsia="Times New Roman" w:hAnsi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, И. В. </w:t>
      </w:r>
      <w:proofErr w:type="spellStart"/>
      <w:r w:rsidRPr="00C043E4">
        <w:rPr>
          <w:rFonts w:ascii="Times New Roman" w:eastAsia="Times New Roman" w:hAnsi="Times New Roman"/>
          <w:color w:val="000000"/>
          <w:sz w:val="29"/>
          <w:szCs w:val="29"/>
          <w:bdr w:val="none" w:sz="0" w:space="0" w:color="auto" w:frame="1"/>
          <w:lang w:eastAsia="ru-RU"/>
        </w:rPr>
        <w:t>Шамшин</w:t>
      </w:r>
      <w:proofErr w:type="spellEnd"/>
      <w:r w:rsidRPr="00C043E4">
        <w:rPr>
          <w:rFonts w:ascii="Times New Roman" w:eastAsia="Times New Roman" w:hAnsi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, </w:t>
      </w:r>
      <w:proofErr w:type="spellStart"/>
      <w:r w:rsidRPr="00C043E4">
        <w:rPr>
          <w:rFonts w:ascii="Times New Roman" w:eastAsia="Times New Roman" w:hAnsi="Times New Roman"/>
          <w:color w:val="000000"/>
          <w:sz w:val="29"/>
          <w:szCs w:val="29"/>
          <w:bdr w:val="none" w:sz="0" w:space="0" w:color="auto" w:frame="1"/>
          <w:lang w:eastAsia="ru-RU"/>
        </w:rPr>
        <w:t>М.А.Мищерина</w:t>
      </w:r>
      <w:proofErr w:type="spellEnd"/>
      <w:r w:rsidRPr="00C043E4">
        <w:rPr>
          <w:rFonts w:ascii="Times New Roman" w:eastAsia="Times New Roman" w:hAnsi="Times New Roman"/>
          <w:color w:val="000000"/>
          <w:sz w:val="29"/>
          <w:szCs w:val="29"/>
          <w:bdr w:val="none" w:sz="0" w:space="0" w:color="auto" w:frame="1"/>
          <w:lang w:eastAsia="ru-RU"/>
        </w:rPr>
        <w:t>. Русский язык. 10-11 к</w:t>
      </w:r>
      <w:r>
        <w:rPr>
          <w:rFonts w:ascii="Times New Roman" w:eastAsia="Times New Roman" w:hAnsi="Times New Roman"/>
          <w:color w:val="000000"/>
          <w:sz w:val="29"/>
          <w:szCs w:val="29"/>
          <w:bdr w:val="none" w:sz="0" w:space="0" w:color="auto" w:frame="1"/>
          <w:lang w:eastAsia="ru-RU"/>
        </w:rPr>
        <w:t>лассы. М.: «Русское слово», 2014</w:t>
      </w:r>
      <w:r w:rsidRPr="00C043E4">
        <w:rPr>
          <w:rFonts w:ascii="Times New Roman" w:eastAsia="Times New Roman" w:hAnsi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г.</w:t>
      </w:r>
    </w:p>
    <w:p w:rsidR="009E5670" w:rsidRPr="00C043E4" w:rsidRDefault="009E5670" w:rsidP="009E5670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2. Цель изучения дисциплины</w:t>
      </w:r>
    </w:p>
    <w:p w:rsidR="009E5670" w:rsidRPr="00C043E4" w:rsidRDefault="009E5670" w:rsidP="009E5670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 -формирование языковой, коммуникативной и лингвистической компетенции учащихся.</w:t>
      </w:r>
    </w:p>
    <w:p w:rsidR="009E5670" w:rsidRPr="00C043E4" w:rsidRDefault="009E5670" w:rsidP="009E5670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Структура дисциплины</w:t>
      </w:r>
    </w:p>
    <w:p w:rsidR="009E5670" w:rsidRPr="00C043E4" w:rsidRDefault="009E5670" w:rsidP="009E5670">
      <w:pPr>
        <w:spacing w:after="0" w:line="300" w:lineRule="atLeast"/>
        <w:ind w:left="210" w:hanging="84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Лексика. Фразеология.</w:t>
      </w:r>
    </w:p>
    <w:p w:rsidR="009E5670" w:rsidRPr="00C043E4" w:rsidRDefault="009E5670" w:rsidP="009E5670">
      <w:pPr>
        <w:spacing w:after="0" w:line="300" w:lineRule="atLeast"/>
        <w:ind w:left="54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Фонетика. Графика.</w:t>
      </w:r>
    </w:p>
    <w:p w:rsidR="009E5670" w:rsidRPr="00C043E4" w:rsidRDefault="009E5670" w:rsidP="009E5670">
      <w:pPr>
        <w:spacing w:after="0" w:line="300" w:lineRule="atLeast"/>
        <w:ind w:left="54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proofErr w:type="spellStart"/>
      <w:r w:rsidRPr="00C043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Морфемика</w:t>
      </w:r>
      <w:proofErr w:type="spellEnd"/>
      <w:r w:rsidRPr="00C043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словообразование.</w:t>
      </w:r>
    </w:p>
    <w:p w:rsidR="009E5670" w:rsidRPr="00C043E4" w:rsidRDefault="009E5670" w:rsidP="009E5670">
      <w:pPr>
        <w:spacing w:after="0" w:line="300" w:lineRule="atLeast"/>
        <w:ind w:left="54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Морфология</w:t>
      </w:r>
    </w:p>
    <w:p w:rsidR="009E5670" w:rsidRDefault="009E5670" w:rsidP="009E5670">
      <w:pPr>
        <w:spacing w:after="0" w:line="300" w:lineRule="atLeast"/>
        <w:ind w:left="540" w:hanging="36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043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Орфография</w:t>
      </w:r>
    </w:p>
    <w:p w:rsidR="009E5670" w:rsidRDefault="009E5670" w:rsidP="009E5670">
      <w:pPr>
        <w:spacing w:after="0" w:line="300" w:lineRule="atLeast"/>
        <w:ind w:left="540" w:hanging="36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Синтаксис простого предложения</w:t>
      </w:r>
    </w:p>
    <w:p w:rsidR="009E5670" w:rsidRPr="00C043E4" w:rsidRDefault="009E5670" w:rsidP="009E5670">
      <w:pPr>
        <w:spacing w:after="0" w:line="300" w:lineRule="atLeast"/>
        <w:ind w:left="54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Синтаксис сложного предложения</w:t>
      </w:r>
    </w:p>
    <w:p w:rsidR="009E5670" w:rsidRPr="00C043E4" w:rsidRDefault="009E5670" w:rsidP="009E5670">
      <w:pPr>
        <w:spacing w:after="0" w:line="300" w:lineRule="atLeast"/>
        <w:ind w:left="540" w:hanging="360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речи</w:t>
      </w:r>
    </w:p>
    <w:p w:rsidR="009E5670" w:rsidRPr="00C043E4" w:rsidRDefault="009E5670" w:rsidP="009E5670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4. Основные образовательные технологии</w:t>
      </w:r>
    </w:p>
    <w:p w:rsidR="009E5670" w:rsidRPr="00C043E4" w:rsidRDefault="009E5670" w:rsidP="009E5670">
      <w:pPr>
        <w:spacing w:after="0" w:line="300" w:lineRule="atLeast"/>
        <w:ind w:left="720" w:hanging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Информационно-коммуникативные технологии</w:t>
      </w:r>
    </w:p>
    <w:p w:rsidR="009E5670" w:rsidRPr="00C043E4" w:rsidRDefault="009E5670" w:rsidP="009E5670">
      <w:pPr>
        <w:spacing w:after="0" w:line="300" w:lineRule="atLeast"/>
        <w:ind w:left="720" w:hanging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Технология концентрированного обучения</w:t>
      </w:r>
    </w:p>
    <w:p w:rsidR="009E5670" w:rsidRPr="00C043E4" w:rsidRDefault="009E5670" w:rsidP="009E5670">
      <w:pPr>
        <w:spacing w:after="0" w:line="300" w:lineRule="atLeast"/>
        <w:ind w:left="720" w:hanging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Технология проблемного обучения</w:t>
      </w:r>
    </w:p>
    <w:p w:rsidR="009E5670" w:rsidRPr="00C043E4" w:rsidRDefault="009E5670" w:rsidP="009E5670">
      <w:pPr>
        <w:spacing w:after="0" w:line="300" w:lineRule="atLeast"/>
        <w:ind w:left="720" w:hanging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Технология дифференцированного обучения</w:t>
      </w:r>
    </w:p>
    <w:p w:rsidR="009E5670" w:rsidRPr="00C043E4" w:rsidRDefault="009E5670" w:rsidP="009E5670">
      <w:pPr>
        <w:spacing w:after="0" w:line="255" w:lineRule="atLeast"/>
        <w:ind w:left="720" w:hanging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Вузовские технологии обучения в школе (уроки-лекции, уроки-семинары, уроки-практикумы, уроки-зачеты)</w:t>
      </w:r>
    </w:p>
    <w:p w:rsidR="009E5670" w:rsidRPr="00C043E4" w:rsidRDefault="009E5670" w:rsidP="009E5670">
      <w:pPr>
        <w:spacing w:after="0" w:line="255" w:lineRule="atLeast"/>
        <w:ind w:left="720" w:hanging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Технологии личностно</w:t>
      </w: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-ориентированного образования (игровые технологии, метод проектов и др.)</w:t>
      </w:r>
    </w:p>
    <w:p w:rsidR="009E5670" w:rsidRPr="00C043E4" w:rsidRDefault="009E5670" w:rsidP="009E5670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5. Требования к результатам освоения дисциплины</w:t>
      </w:r>
    </w:p>
    <w:p w:rsidR="009E5670" w:rsidRPr="00C043E4" w:rsidRDefault="009E5670" w:rsidP="009E5670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знать</w:t>
      </w:r>
    </w:p>
    <w:p w:rsidR="009E5670" w:rsidRPr="00C043E4" w:rsidRDefault="009E5670" w:rsidP="009E5670">
      <w:pPr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основные единицы и уровни языка, их признаки и взаимосвязь;</w:t>
      </w:r>
    </w:p>
    <w:p w:rsidR="009E5670" w:rsidRPr="00C043E4" w:rsidRDefault="009E5670" w:rsidP="009E5670">
      <w:pPr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proofErr w:type="gramStart"/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9E5670" w:rsidRPr="00C043E4" w:rsidRDefault="009E5670" w:rsidP="009E5670">
      <w:pPr>
        <w:spacing w:after="0" w:line="300" w:lineRule="atLeast"/>
        <w:ind w:firstLine="238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уметь</w:t>
      </w:r>
    </w:p>
    <w:p w:rsidR="009E5670" w:rsidRPr="00C043E4" w:rsidRDefault="009E5670" w:rsidP="009E5670">
      <w:pPr>
        <w:spacing w:after="0" w:line="240" w:lineRule="auto"/>
        <w:ind w:left="1328" w:hanging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pacing w:val="-1"/>
          <w:sz w:val="28"/>
          <w:szCs w:val="28"/>
          <w:bdr w:val="none" w:sz="0" w:space="0" w:color="auto" w:frame="1"/>
          <w:lang w:eastAsia="ru-RU"/>
        </w:rPr>
        <w:t>анализировать языковые единицы с точки зрения правильности, точности и уместности их</w:t>
      </w:r>
      <w:r w:rsidRPr="00C043E4">
        <w:rPr>
          <w:rFonts w:ascii="Times New Roman" w:eastAsia="Times New Roman" w:hAnsi="Times New Roman"/>
          <w:color w:val="373737"/>
          <w:spacing w:val="-1"/>
          <w:sz w:val="28"/>
          <w:lang w:eastAsia="ru-RU"/>
        </w:rPr>
        <w:t> </w:t>
      </w: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употребления;</w:t>
      </w:r>
    </w:p>
    <w:p w:rsidR="009E5670" w:rsidRPr="00C043E4" w:rsidRDefault="009E5670" w:rsidP="009E5670">
      <w:pPr>
        <w:spacing w:after="0" w:line="240" w:lineRule="auto"/>
        <w:ind w:left="1328" w:hanging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проводить лингвистический анализ текстов различных функциональных стилей и разновид</w:t>
      </w: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softHyphen/>
        <w:t>ностей языка;</w:t>
      </w:r>
    </w:p>
    <w:p w:rsidR="009E5670" w:rsidRPr="00C043E4" w:rsidRDefault="009E5670" w:rsidP="009E5670">
      <w:pPr>
        <w:spacing w:after="0" w:line="240" w:lineRule="auto"/>
        <w:ind w:left="1328" w:hanging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9E5670" w:rsidRPr="00C043E4" w:rsidRDefault="009E5670" w:rsidP="009E5670">
      <w:pPr>
        <w:spacing w:after="0" w:line="240" w:lineRule="auto"/>
        <w:ind w:left="1328" w:hanging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9E5670" w:rsidRPr="00C043E4" w:rsidRDefault="009E5670" w:rsidP="009E5670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6. Общая трудоемкость дисциплины</w:t>
      </w:r>
    </w:p>
    <w:p w:rsidR="009E5670" w:rsidRDefault="009E5670" w:rsidP="009E5670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10 класс - 34 часа в год (1 час</w:t>
      </w: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в неделю)</w:t>
      </w:r>
    </w:p>
    <w:p w:rsidR="009E5670" w:rsidRDefault="009E5670" w:rsidP="009E5670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11 класс - 34 часа в год (1 час</w:t>
      </w:r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в неделю)</w:t>
      </w:r>
    </w:p>
    <w:p w:rsidR="009E5670" w:rsidRPr="00C043E4" w:rsidRDefault="009E5670" w:rsidP="009E5670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</w:p>
    <w:p w:rsidR="009E5670" w:rsidRPr="00C043E4" w:rsidRDefault="009E5670" w:rsidP="009E5670">
      <w:pPr>
        <w:spacing w:after="0" w:line="300" w:lineRule="atLeast"/>
        <w:ind w:left="-180" w:firstLine="360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r w:rsidRPr="00C043E4">
        <w:rPr>
          <w:rFonts w:ascii="Times New Roman" w:eastAsia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7. Формы контроля</w:t>
      </w:r>
    </w:p>
    <w:p w:rsidR="009E5670" w:rsidRPr="00C043E4" w:rsidRDefault="009E5670" w:rsidP="009E5670">
      <w:pPr>
        <w:spacing w:after="0" w:line="300" w:lineRule="atLeast"/>
        <w:ind w:left="-180" w:firstLine="797"/>
        <w:jc w:val="both"/>
        <w:textAlignment w:val="baseline"/>
        <w:rPr>
          <w:rFonts w:ascii="Times New Roman" w:eastAsia="Times New Roman" w:hAnsi="Times New Roman"/>
          <w:color w:val="373737"/>
          <w:sz w:val="20"/>
          <w:szCs w:val="20"/>
          <w:lang w:eastAsia="ru-RU"/>
        </w:rPr>
      </w:pPr>
      <w:proofErr w:type="gramStart"/>
      <w:r w:rsidRPr="00C043E4">
        <w:rPr>
          <w:rFonts w:ascii="Times New Roman" w:eastAsia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Диктант (контрольный, словарный, графический и др.), самостоятельная работа, тест, практическая работа, изложение, сочинение.</w:t>
      </w:r>
      <w:proofErr w:type="gramEnd"/>
    </w:p>
    <w:p w:rsidR="005D3CF3" w:rsidRDefault="005D3CF3"/>
    <w:sectPr w:rsidR="005D3CF3" w:rsidSect="005D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670"/>
    <w:rsid w:val="005D3CF3"/>
    <w:rsid w:val="009E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2015-04-13T17:36:00Z</dcterms:created>
  <dcterms:modified xsi:type="dcterms:W3CDTF">2015-04-13T17:41:00Z</dcterms:modified>
</cp:coreProperties>
</file>